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6F094F" w:rsidRDefault="006F0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6F094F">
        <w:rPr>
          <w:b/>
        </w:rPr>
        <w:t xml:space="preserve">Form </w:t>
      </w:r>
      <w:r w:rsidR="0006336A" w:rsidRPr="006F094F">
        <w:rPr>
          <w:b/>
        </w:rPr>
        <w:t>- IX</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FF"/>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976"/>
        <w:gridCol w:w="1336"/>
        <w:gridCol w:w="1030"/>
        <w:gridCol w:w="1361"/>
        <w:gridCol w:w="235"/>
        <w:gridCol w:w="646"/>
        <w:gridCol w:w="1596"/>
        <w:gridCol w:w="976"/>
        <w:gridCol w:w="1057"/>
        <w:gridCol w:w="959"/>
      </w:tblGrid>
      <w:tr w:rsidR="00000000">
        <w:tblPrEx>
          <w:tblCellMar>
            <w:top w:w="0" w:type="dxa"/>
            <w:bottom w:w="0" w:type="dxa"/>
          </w:tblCellMar>
        </w:tblPrEx>
        <w:tc>
          <w:tcPr>
            <w:tcW w:w="3342" w:type="dxa"/>
            <w:gridSpan w:val="3"/>
            <w:tcBorders>
              <w:top w:val="single" w:sz="6" w:space="0" w:color="auto"/>
              <w:left w:val="single" w:sz="6" w:space="0" w:color="auto"/>
              <w:bottom w:val="single" w:sz="3" w:space="0" w:color="auto"/>
              <w:right w:val="single" w:sz="3"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FEE: THIRTY RUPEES</w:t>
            </w:r>
          </w:p>
        </w:tc>
        <w:tc>
          <w:tcPr>
            <w:tcW w:w="1361" w:type="dxa"/>
            <w:tcBorders>
              <w:top w:val="single" w:sz="6" w:space="0" w:color="auto"/>
              <w:left w:val="single" w:sz="3" w:space="0" w:color="auto"/>
              <w:bottom w:val="single" w:sz="3" w:space="0" w:color="auto"/>
              <w:right w:val="single" w:sz="3"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81" w:type="dxa"/>
            <w:gridSpan w:val="2"/>
            <w:tcBorders>
              <w:top w:val="single" w:sz="6" w:space="0" w:color="auto"/>
              <w:left w:val="single" w:sz="3" w:space="0" w:color="auto"/>
              <w:bottom w:val="single" w:sz="3" w:space="0" w:color="auto"/>
              <w:right w:val="single" w:sz="3"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4588" w:type="dxa"/>
            <w:gridSpan w:val="4"/>
            <w:tcBorders>
              <w:top w:val="single" w:sz="6" w:space="0" w:color="auto"/>
              <w:left w:val="single" w:sz="3" w:space="0" w:color="auto"/>
              <w:bottom w:val="single" w:sz="3" w:space="0" w:color="auto"/>
              <w:right w:val="single" w:sz="6"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roofErr w:type="spellStart"/>
            <w:r>
              <w:t>Licence</w:t>
            </w:r>
            <w:proofErr w:type="spellEnd"/>
            <w:r>
              <w:t xml:space="preserve"> to: -</w:t>
            </w:r>
          </w:p>
        </w:tc>
      </w:tr>
      <w:tr w:rsidR="00000000">
        <w:tblPrEx>
          <w:tblCellMar>
            <w:top w:w="0" w:type="dxa"/>
            <w:bottom w:w="0" w:type="dxa"/>
          </w:tblCellMar>
        </w:tblPrEx>
        <w:tc>
          <w:tcPr>
            <w:tcW w:w="3342" w:type="dxa"/>
            <w:gridSpan w:val="3"/>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61" w:type="dxa"/>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81" w:type="dxa"/>
            <w:gridSpan w:val="2"/>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4588" w:type="dxa"/>
            <w:gridSpan w:val="4"/>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Manufacturer; </w:t>
            </w:r>
          </w:p>
        </w:tc>
      </w:tr>
      <w:tr w:rsidR="00000000">
        <w:tblPrEx>
          <w:tblCellMar>
            <w:top w:w="0" w:type="dxa"/>
            <w:bottom w:w="0" w:type="dxa"/>
          </w:tblCellMar>
        </w:tblPrEx>
        <w:tc>
          <w:tcPr>
            <w:tcW w:w="3342" w:type="dxa"/>
            <w:gridSpan w:val="3"/>
            <w:tcBorders>
              <w:top w:val="single" w:sz="3" w:space="0" w:color="auto"/>
              <w:left w:val="single" w:sz="6" w:space="0" w:color="auto"/>
              <w:bottom w:val="single" w:sz="6" w:space="0" w:color="auto"/>
              <w:right w:val="single" w:sz="3"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361" w:type="dxa"/>
            <w:tcBorders>
              <w:top w:val="single" w:sz="3" w:space="0" w:color="auto"/>
              <w:left w:val="single" w:sz="3" w:space="0" w:color="auto"/>
              <w:bottom w:val="single" w:sz="6" w:space="0" w:color="auto"/>
              <w:right w:val="single" w:sz="3"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881" w:type="dxa"/>
            <w:gridSpan w:val="2"/>
            <w:tcBorders>
              <w:top w:val="single" w:sz="3" w:space="0" w:color="auto"/>
              <w:left w:val="single" w:sz="3" w:space="0" w:color="auto"/>
              <w:bottom w:val="single" w:sz="6" w:space="0" w:color="auto"/>
              <w:right w:val="single" w:sz="3" w:space="0" w:color="auto"/>
            </w:tcBorders>
          </w:tcPr>
          <w:p w:rsidR="00000000" w:rsidRDefault="0006336A">
            <w:pPr>
              <w:tabs>
                <w:tab w:val="left" w:pos="1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50"/>
              <w:jc w:val="center"/>
            </w:pPr>
            <w:r>
              <w:t>(2)</w:t>
            </w:r>
          </w:p>
        </w:tc>
        <w:tc>
          <w:tcPr>
            <w:tcW w:w="4588" w:type="dxa"/>
            <w:gridSpan w:val="4"/>
            <w:tcBorders>
              <w:top w:val="single" w:sz="3" w:space="0" w:color="auto"/>
              <w:left w:val="single" w:sz="3" w:space="0" w:color="auto"/>
              <w:bottom w:val="single" w:sz="6" w:space="0" w:color="auto"/>
              <w:right w:val="single" w:sz="6"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Convert, shorten, repair or test (other than proof test), sell or transfer, keep for sale or transfer, conversion, repair or test or arms or ammunition. </w:t>
            </w:r>
          </w:p>
        </w:tc>
      </w:tr>
      <w:tr w:rsidR="00000000">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735"/>
        </w:trPr>
        <w:tc>
          <w:tcPr>
            <w:tcW w:w="97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Sr. No. of </w:t>
            </w:r>
            <w:proofErr w:type="spellStart"/>
            <w:r>
              <w:t>Licence</w:t>
            </w:r>
            <w:proofErr w:type="spellEnd"/>
          </w:p>
        </w:tc>
        <w:tc>
          <w:tcPr>
            <w:tcW w:w="133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D</w:t>
            </w:r>
            <w:r>
              <w:t xml:space="preserve">escription and residence of </w:t>
            </w:r>
            <w:proofErr w:type="spellStart"/>
            <w:r>
              <w:t>licencee</w:t>
            </w:r>
            <w:proofErr w:type="spellEnd"/>
            <w:r>
              <w:t xml:space="preserve"> and of duly </w:t>
            </w:r>
            <w:proofErr w:type="spellStart"/>
            <w:r>
              <w:t>authorised</w:t>
            </w:r>
            <w:proofErr w:type="spellEnd"/>
            <w:r>
              <w:t xml:space="preserve"> agent , if any </w:t>
            </w:r>
          </w:p>
        </w:tc>
        <w:tc>
          <w:tcPr>
            <w:tcW w:w="1030"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 of business factory shop</w:t>
            </w:r>
          </w:p>
        </w:tc>
        <w:tc>
          <w:tcPr>
            <w:tcW w:w="4814" w:type="dxa"/>
            <w:gridSpan w:val="5"/>
            <w:tcBorders>
              <w:top w:val="nil"/>
              <w:bottom w:val="nil"/>
            </w:tcBorders>
            <w:tcMar>
              <w:left w:w="0" w:type="dxa"/>
              <w:right w:w="0" w:type="dxa"/>
            </w:tcMar>
          </w:tcPr>
          <w:tbl>
            <w:tblPr>
              <w:tblW w:w="0" w:type="auto"/>
              <w:tblBorders>
                <w:top w:val="single" w:sz="4" w:space="0" w:color="auto"/>
                <w:bottom w:val="single" w:sz="4" w:space="0" w:color="auto"/>
              </w:tblBorders>
              <w:tblLayout w:type="fixed"/>
              <w:tblLook w:val="0000"/>
            </w:tblPr>
            <w:tblGrid>
              <w:gridCol w:w="1596"/>
              <w:gridCol w:w="646"/>
              <w:gridCol w:w="1596"/>
              <w:gridCol w:w="976"/>
            </w:tblGrid>
            <w:tr w:rsidR="00000000">
              <w:tblPrEx>
                <w:tblCellMar>
                  <w:top w:w="0" w:type="dxa"/>
                  <w:bottom w:w="0" w:type="dxa"/>
                </w:tblCellMar>
              </w:tblPrEx>
              <w:trPr>
                <w:trHeight w:val="735"/>
              </w:trPr>
              <w:tc>
                <w:tcPr>
                  <w:tcW w:w="2242" w:type="dxa"/>
                  <w:gridSpan w:val="2"/>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 and Number of Arms</w:t>
                  </w:r>
                </w:p>
              </w:tc>
              <w:tc>
                <w:tcPr>
                  <w:tcW w:w="2572" w:type="dxa"/>
                  <w:gridSpan w:val="2"/>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Description and quantity of Ammunition</w:t>
                  </w:r>
                </w:p>
              </w:tc>
            </w:tr>
            <w:tr w:rsidR="00000000">
              <w:tblPrEx>
                <w:tblCellMar>
                  <w:top w:w="0" w:type="dxa"/>
                  <w:bottom w:w="0" w:type="dxa"/>
                </w:tblCellMar>
              </w:tblPrEx>
              <w:trPr>
                <w:trHeight w:val="1350"/>
              </w:trPr>
              <w:tc>
                <w:tcPr>
                  <w:tcW w:w="1596" w:type="dxa"/>
                  <w:tcBorders>
                    <w:top w:val="single" w:sz="4" w:space="0" w:color="auto"/>
                    <w:left w:val="nil"/>
                    <w:bottom w:val="single" w:sz="4" w:space="0" w:color="auto"/>
                    <w:right w:val="nil"/>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 be manufactured, converted, shortened, repaired</w:t>
                  </w:r>
                </w:p>
              </w:tc>
              <w:tc>
                <w:tcPr>
                  <w:tcW w:w="646" w:type="dxa"/>
                  <w:tcBorders>
                    <w:top w:val="single" w:sz="4" w:space="0" w:color="auto"/>
                    <w:left w:val="nil"/>
                    <w:bottom w:val="single" w:sz="4" w:space="0" w:color="auto"/>
                    <w:right w:val="nil"/>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 be sold or kept for sale</w:t>
                  </w:r>
                </w:p>
              </w:tc>
              <w:tc>
                <w:tcPr>
                  <w:tcW w:w="1596" w:type="dxa"/>
                  <w:tcBorders>
                    <w:top w:val="single" w:sz="4" w:space="0" w:color="auto"/>
                    <w:left w:val="nil"/>
                    <w:bottom w:val="single" w:sz="4" w:space="0" w:color="auto"/>
                    <w:right w:val="nil"/>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 be manufactured, converted, etc.</w:t>
                  </w:r>
                </w:p>
              </w:tc>
              <w:tc>
                <w:tcPr>
                  <w:tcW w:w="976" w:type="dxa"/>
                  <w:tcBorders>
                    <w:top w:val="single" w:sz="4" w:space="0" w:color="auto"/>
                    <w:left w:val="nil"/>
                    <w:bottom w:val="single" w:sz="4" w:space="0" w:color="auto"/>
                    <w:right w:val="nil"/>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To be sold or kept for sale</w:t>
                  </w:r>
                </w:p>
              </w:tc>
            </w:tr>
          </w:tbl>
          <w:p w:rsidR="00000000" w:rsidRDefault="0006336A"/>
        </w:tc>
        <w:tc>
          <w:tcPr>
            <w:tcW w:w="1057"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Name of range or other place where allowed to test</w:t>
            </w:r>
          </w:p>
        </w:tc>
        <w:tc>
          <w:tcPr>
            <w:tcW w:w="959"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Date and year on which the </w:t>
            </w:r>
            <w:proofErr w:type="spellStart"/>
            <w:r>
              <w:t>licence</w:t>
            </w:r>
            <w:proofErr w:type="spellEnd"/>
            <w:r>
              <w:t xml:space="preserve"> expires</w:t>
            </w:r>
          </w:p>
        </w:tc>
      </w:tr>
      <w:tr w:rsidR="00000000">
        <w:tblPrEx>
          <w:tblBorders>
            <w:top w:val="single" w:sz="4"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PrEx>
        <w:trPr>
          <w:trHeight w:val="510"/>
        </w:trPr>
        <w:tc>
          <w:tcPr>
            <w:tcW w:w="97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133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030"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596" w:type="dxa"/>
            <w:gridSpan w:val="2"/>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64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159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c>
          <w:tcPr>
            <w:tcW w:w="97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7</w:t>
            </w:r>
          </w:p>
        </w:tc>
        <w:tc>
          <w:tcPr>
            <w:tcW w:w="1057"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8</w:t>
            </w:r>
          </w:p>
        </w:tc>
        <w:tc>
          <w:tcPr>
            <w:tcW w:w="959"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9</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r>
      <w:tr w:rsidR="00000000">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90"/>
        </w:trPr>
        <w:tc>
          <w:tcPr>
            <w:tcW w:w="97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The</w:t>
            </w:r>
          </w:p>
        </w:tc>
        <w:tc>
          <w:tcPr>
            <w:tcW w:w="133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Of 19</w:t>
            </w:r>
          </w:p>
        </w:tc>
        <w:tc>
          <w:tcPr>
            <w:tcW w:w="2626" w:type="dxa"/>
            <w:gridSpan w:val="3"/>
            <w:tcBorders>
              <w:top w:val="single" w:sz="4" w:space="0" w:color="auto"/>
              <w:bottom w:val="single" w:sz="4"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The date on which copy top the District Magistrate of ……………………… </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District [vide sub-rule (2), rule 20] </w:t>
            </w:r>
          </w:p>
        </w:tc>
        <w:tc>
          <w:tcPr>
            <w:tcW w:w="2242" w:type="dxa"/>
            <w:gridSpan w:val="2"/>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Signature and designation of the officer specially empowered to sign the </w:t>
            </w:r>
            <w:proofErr w:type="spellStart"/>
            <w:r>
              <w:t>licence</w:t>
            </w:r>
            <w:proofErr w:type="spellEnd"/>
            <w:r>
              <w:t xml:space="preserve"> under rule 4. </w:t>
            </w:r>
          </w:p>
        </w:tc>
        <w:tc>
          <w:tcPr>
            <w:tcW w:w="97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(SEAL)</w:t>
            </w:r>
          </w:p>
        </w:tc>
        <w:tc>
          <w:tcPr>
            <w:tcW w:w="2016" w:type="dxa"/>
            <w:gridSpan w:val="2"/>
            <w:tcBorders>
              <w:top w:val="nil"/>
              <w:bottom w:val="nil"/>
            </w:tcBorders>
            <w:tcMar>
              <w:left w:w="0" w:type="dxa"/>
              <w:right w:w="0" w:type="dxa"/>
            </w:tcMar>
          </w:tcPr>
          <w:tbl>
            <w:tblPr>
              <w:tblW w:w="0" w:type="auto"/>
              <w:tblBorders>
                <w:top w:val="single" w:sz="4" w:space="0" w:color="auto"/>
                <w:bottom w:val="single" w:sz="4" w:space="0" w:color="auto"/>
                <w:insideH w:val="single" w:sz="4" w:space="0" w:color="auto"/>
              </w:tblBorders>
              <w:tblLayout w:type="fixed"/>
              <w:tblLook w:val="0000"/>
            </w:tblPr>
            <w:tblGrid>
              <w:gridCol w:w="2016"/>
            </w:tblGrid>
            <w:tr w:rsidR="00000000">
              <w:tblPrEx>
                <w:tblCellMar>
                  <w:top w:w="0" w:type="dxa"/>
                  <w:bottom w:w="0" w:type="dxa"/>
                </w:tblCellMar>
              </w:tblPrEx>
              <w:trPr>
                <w:trHeight w:val="390"/>
              </w:trPr>
              <w:tc>
                <w:tcPr>
                  <w:tcW w:w="2016" w:type="dxa"/>
                  <w:tcBorders>
                    <w:top w:val="single" w:sz="4" w:space="0" w:color="auto"/>
                    <w:bottom w:val="single" w:sz="4" w:space="0" w:color="auto"/>
                  </w:tcBorders>
                </w:tcPr>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The 31</w:t>
                  </w:r>
                  <w:proofErr w:type="spellStart"/>
                  <w:r>
                    <w:rPr>
                      <w:position w:val="6"/>
                    </w:rPr>
                    <w:t>st</w:t>
                  </w:r>
                  <w:proofErr w:type="spellEnd"/>
                  <w:r>
                    <w:t xml:space="preserve"> December, 19……..</w:t>
                  </w:r>
                </w:p>
              </w:tc>
            </w:tr>
            <w:tr w:rsidR="00000000">
              <w:tblPrEx>
                <w:tblCellMar>
                  <w:top w:w="0" w:type="dxa"/>
                  <w:bottom w:w="0" w:type="dxa"/>
                </w:tblCellMar>
              </w:tblPrEx>
              <w:trPr>
                <w:trHeight w:val="1095"/>
              </w:trPr>
              <w:tc>
                <w:tcPr>
                  <w:tcW w:w="2016" w:type="dxa"/>
                  <w:tcBorders>
                    <w:top w:val="single" w:sz="4" w:space="0" w:color="auto"/>
                    <w:left w:val="nil"/>
                    <w:bottom w:val="single" w:sz="4" w:space="0" w:color="auto"/>
                    <w:right w:val="nil"/>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(Signature) …………….</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Licensing Authority …</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Designation ………….</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Place …………………..</w:t>
                  </w:r>
                </w:p>
              </w:tc>
            </w:tr>
          </w:tbl>
          <w:p w:rsidR="00000000" w:rsidRDefault="0006336A"/>
        </w:tc>
      </w:tr>
    </w:tbl>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OF </w:t>
      </w:r>
      <w:r>
        <w:rPr>
          <w:b/>
        </w:rPr>
        <w:t>RENEWAL OF THE LICENCE</w:t>
      </w:r>
    </w:p>
    <w:tbl>
      <w:tblPr>
        <w:tblW w:w="0" w:type="auto"/>
        <w:tblInd w:w="10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1835"/>
        <w:gridCol w:w="2563"/>
        <w:gridCol w:w="2801"/>
        <w:gridCol w:w="1657"/>
      </w:tblGrid>
      <w:tr w:rsidR="00000000">
        <w:tblPrEx>
          <w:tblCellMar>
            <w:top w:w="0" w:type="dxa"/>
            <w:bottom w:w="0" w:type="dxa"/>
          </w:tblCellMar>
        </w:tblPrEx>
        <w:trPr>
          <w:trHeight w:val="600"/>
        </w:trPr>
        <w:tc>
          <w:tcPr>
            <w:tcW w:w="1835" w:type="dxa"/>
            <w:tcBorders>
              <w:top w:val="single" w:sz="6" w:space="0" w:color="auto"/>
              <w:left w:val="single" w:sz="6" w:space="0" w:color="auto"/>
              <w:bottom w:val="single" w:sz="3" w:space="0" w:color="auto"/>
              <w:right w:val="single" w:sz="3"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Date and year of renewal</w:t>
            </w:r>
          </w:p>
        </w:tc>
        <w:tc>
          <w:tcPr>
            <w:tcW w:w="2563" w:type="dxa"/>
            <w:tcBorders>
              <w:top w:val="single" w:sz="6" w:space="0" w:color="auto"/>
              <w:left w:val="single" w:sz="3" w:space="0" w:color="auto"/>
              <w:bottom w:val="single" w:sz="3" w:space="0" w:color="auto"/>
              <w:right w:val="single" w:sz="3"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Date on which renewed </w:t>
            </w:r>
            <w:proofErr w:type="spellStart"/>
            <w:r>
              <w:t>licence</w:t>
            </w:r>
            <w:proofErr w:type="spellEnd"/>
            <w:r>
              <w:t xml:space="preserve"> expires</w:t>
            </w:r>
          </w:p>
        </w:tc>
        <w:tc>
          <w:tcPr>
            <w:tcW w:w="2801" w:type="dxa"/>
            <w:tcBorders>
              <w:top w:val="single" w:sz="6" w:space="0" w:color="auto"/>
              <w:left w:val="single" w:sz="3" w:space="0" w:color="auto"/>
              <w:bottom w:val="single" w:sz="3" w:space="0" w:color="auto"/>
              <w:right w:val="single" w:sz="3"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 xml:space="preserve">Name (in capital)/ Signature and designation of Renewing Authority </w:t>
            </w:r>
          </w:p>
        </w:tc>
        <w:tc>
          <w:tcPr>
            <w:tcW w:w="1657" w:type="dxa"/>
            <w:tcBorders>
              <w:top w:val="single" w:sz="6" w:space="0" w:color="auto"/>
              <w:left w:val="single" w:sz="3" w:space="0" w:color="auto"/>
              <w:bottom w:val="single" w:sz="3" w:space="0" w:color="auto"/>
              <w:right w:val="single" w:sz="6"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r>
              <w:t>(SEAL)</w:t>
            </w:r>
          </w:p>
        </w:tc>
      </w:tr>
      <w:tr w:rsidR="00000000">
        <w:tblPrEx>
          <w:tblCellMar>
            <w:top w:w="0" w:type="dxa"/>
            <w:bottom w:w="0" w:type="dxa"/>
          </w:tblCellMar>
        </w:tblPrEx>
        <w:trPr>
          <w:trHeight w:val="225"/>
        </w:trPr>
        <w:tc>
          <w:tcPr>
            <w:tcW w:w="1835" w:type="dxa"/>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left"/>
            </w:pPr>
          </w:p>
        </w:tc>
        <w:tc>
          <w:tcPr>
            <w:tcW w:w="2563" w:type="dxa"/>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801" w:type="dxa"/>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7" w:type="dxa"/>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r w:rsidR="00000000">
        <w:tblPrEx>
          <w:tblCellMar>
            <w:top w:w="0" w:type="dxa"/>
            <w:bottom w:w="0" w:type="dxa"/>
          </w:tblCellMar>
        </w:tblPrEx>
        <w:trPr>
          <w:trHeight w:val="360"/>
        </w:trPr>
        <w:tc>
          <w:tcPr>
            <w:tcW w:w="1835" w:type="dxa"/>
            <w:tcBorders>
              <w:top w:val="single" w:sz="3" w:space="0" w:color="auto"/>
              <w:left w:val="single" w:sz="6" w:space="0" w:color="auto"/>
              <w:bottom w:val="single" w:sz="6" w:space="0" w:color="auto"/>
              <w:right w:val="single" w:sz="3"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563" w:type="dxa"/>
            <w:tcBorders>
              <w:top w:val="single" w:sz="3" w:space="0" w:color="auto"/>
              <w:left w:val="single" w:sz="3" w:space="0" w:color="auto"/>
              <w:bottom w:val="single" w:sz="6" w:space="0" w:color="auto"/>
              <w:right w:val="single" w:sz="3"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2801" w:type="dxa"/>
            <w:tcBorders>
              <w:top w:val="single" w:sz="3" w:space="0" w:color="auto"/>
              <w:left w:val="single" w:sz="3" w:space="0" w:color="auto"/>
              <w:bottom w:val="single" w:sz="6" w:space="0" w:color="auto"/>
              <w:right w:val="single" w:sz="3"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c>
          <w:tcPr>
            <w:tcW w:w="1657" w:type="dxa"/>
            <w:tcBorders>
              <w:top w:val="single" w:sz="3" w:space="0" w:color="auto"/>
              <w:left w:val="single" w:sz="3" w:space="0" w:color="auto"/>
              <w:bottom w:val="single" w:sz="6" w:space="0" w:color="auto"/>
              <w:right w:val="single" w:sz="6" w:space="0" w:color="auto"/>
            </w:tcBorders>
          </w:tcPr>
          <w:p w:rsidR="00000000" w:rsidRDefault="0006336A">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tc>
      </w:tr>
    </w:tbl>
    <w:p w:rsidR="00000000" w:rsidRDefault="0006336A">
      <w:pPr>
        <w:tabs>
          <w:tab w:val="left" w:pos="7776"/>
          <w:tab w:val="left" w:pos="7920"/>
          <w:tab w:val="left" w:pos="8640"/>
          <w:tab w:val="left" w:pos="9360"/>
          <w:tab w:val="left" w:pos="31680"/>
          <w:tab w:val="left" w:pos="32400"/>
        </w:tabs>
        <w:spacing w:line="360" w:lineRule="auto"/>
        <w:jc w:val="center"/>
        <w:rPr>
          <w:b/>
          <w:u w:val="single"/>
        </w:rPr>
      </w:pPr>
      <w:r>
        <w:rPr>
          <w:b/>
          <w:u w:val="single"/>
        </w:rPr>
        <w:t>CONDITIONS</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pPr>
      <w:r>
        <w:t xml:space="preserve">1. </w:t>
      </w:r>
      <w:r>
        <w:tab/>
        <w:t>(</w:t>
      </w:r>
      <w:proofErr w:type="gramStart"/>
      <w:r>
        <w:t>a</w:t>
      </w:r>
      <w:proofErr w:type="gramEnd"/>
      <w:r>
        <w:t xml:space="preserve">). This </w:t>
      </w:r>
      <w:proofErr w:type="spellStart"/>
      <w:r>
        <w:t>licence</w:t>
      </w:r>
      <w:proofErr w:type="spellEnd"/>
      <w:r>
        <w:t xml:space="preserve"> is granted subject to all the provisions of the Arm</w:t>
      </w:r>
      <w:r>
        <w:t xml:space="preserve">s Act, 1959 and of the Arms Rule, 1962. </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This </w:t>
      </w:r>
      <w:proofErr w:type="spellStart"/>
      <w:r>
        <w:t>licence</w:t>
      </w:r>
      <w:proofErr w:type="spellEnd"/>
      <w:r>
        <w:t xml:space="preserve"> does not entitle the dealer to take any arms or ammunition for testing to a testing range or other place without a permit for the purpose or to prove any firearms.</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(c) This </w:t>
      </w:r>
      <w:proofErr w:type="spellStart"/>
      <w:r>
        <w:t>licence</w:t>
      </w:r>
      <w:proofErr w:type="spellEnd"/>
      <w:r>
        <w:t xml:space="preserve"> is valid only so </w:t>
      </w:r>
      <w:r>
        <w:t xml:space="preserve">long as the licensee carries on the trade or business in the premises shows in column 3 thereof, and will </w:t>
      </w:r>
      <w:r>
        <w:rPr>
          <w:b/>
          <w:i/>
        </w:rPr>
        <w:t>ipso facto</w:t>
      </w:r>
      <w:r>
        <w:rPr>
          <w:i/>
        </w:rPr>
        <w:t xml:space="preserve"> </w:t>
      </w:r>
      <w:r>
        <w:t>lapse if the business is discontinued for a continuous period exceeding six months.</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The licensee shall not enter into any partnership c</w:t>
      </w:r>
      <w:r>
        <w:t xml:space="preserve">onnected with this </w:t>
      </w:r>
      <w:proofErr w:type="spellStart"/>
      <w:r>
        <w:t>licence</w:t>
      </w:r>
      <w:proofErr w:type="spellEnd"/>
      <w:r>
        <w:t xml:space="preserve"> without the approval of the licensing authority.</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licensee shall maintain registers of all arms manufactured or converted or shortened or repaired or tested or transferred, of all ammunition manufactured, converted, repaire</w:t>
      </w:r>
      <w:r>
        <w:t>d or transferred, of all stock in hand, and of all sales, showing the particulars in such forms as may be prescribed for the purpose by the Central Government.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He shall make available for inspection of his stock and his registers on the demand of any ma</w:t>
      </w:r>
      <w:r>
        <w:t>gistrate or any police officer of a rank not below</w:t>
      </w:r>
      <w:r>
        <w:tab/>
        <w:t>that of Inspector, or, if the Central Government so directs, of Sub-Inspector.</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(1) </w:t>
      </w:r>
      <w:r>
        <w:tab/>
        <w:t>He shall affix on a conspicuous part of his place of business, factory or shop a signboard on which shall be painted i</w:t>
      </w:r>
      <w:r>
        <w:t>n large letters in English/Hindi and in the language of the district his name and the words “Licensed to manufactured / convert / shorten / repair / test / transfer / sell arms or ammunition.”</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He shall also affix in his place of business, factory or sh</w:t>
      </w:r>
      <w:r>
        <w:t>op a copy of Section 36 of the Arms Act, 1959, either in English/Hindi the language of the District.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He shall not manufacture firearms of any category or description other than those allowed to be not manufactured under column 4; nor expand his business</w:t>
      </w:r>
      <w:r>
        <w:t xml:space="preserve">, except with the prior permission </w:t>
      </w:r>
      <w:r>
        <w:lastRenderedPageBreak/>
        <w:t>of the Central Government and subject to such conditions as may be prescribed by the Central Government.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He shall not sell to anyone any firearm manufactured by him unless such firearms-</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gramStart"/>
      <w:r>
        <w:t>a</w:t>
      </w:r>
      <w:proofErr w:type="gramEnd"/>
      <w:r>
        <w:t>) Is duly proof-tested at a G</w:t>
      </w:r>
      <w:r>
        <w:t>overnment establishment or an establishment approved in this behalf by the Central Government;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Bears proof-mark, and</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Bears identification marks required by rule 25.</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He shall not sell arms or ammunition elsewhere that at the place of business, fa</w:t>
      </w:r>
      <w:r>
        <w:t>ctory or shop specified in column 3.</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He shall not keep Government arms or ammunition except under the special or general orders of the Central Government.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rPr>
        <w:t>Explanation.</w:t>
      </w:r>
      <w:proofErr w:type="gramEnd"/>
      <w:r>
        <w:rPr>
          <w:b/>
        </w:rPr>
        <w:t xml:space="preserve"> -</w:t>
      </w:r>
      <w:r>
        <w:t>For</w:t>
      </w:r>
      <w:r>
        <w:rPr>
          <w:i/>
        </w:rPr>
        <w:t xml:space="preserve"> </w:t>
      </w:r>
      <w:r>
        <w:t>the purpose of this condition-</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w:t>
      </w:r>
      <w:r>
        <w:rPr>
          <w:b/>
          <w:i/>
        </w:rPr>
        <w:t>“Government arms”</w:t>
      </w:r>
      <w:r>
        <w:rPr>
          <w:i/>
        </w:rPr>
        <w:t xml:space="preserve"> </w:t>
      </w:r>
      <w:r>
        <w:t>means a firearm or other we</w:t>
      </w:r>
      <w:r>
        <w:t>apon which is the property or the Government; and</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w:t>
      </w:r>
      <w:r>
        <w:rPr>
          <w:b/>
          <w:i/>
        </w:rPr>
        <w:t>“Government ammunition”</w:t>
      </w:r>
      <w:r>
        <w:rPr>
          <w:i/>
        </w:rPr>
        <w:t xml:space="preserve"> </w:t>
      </w:r>
      <w:r>
        <w:t>means ammunition manufactured in any government factory, or prepared for and supplied to the Government other than such ammunition as may be released by Government for civilian u</w:t>
      </w:r>
      <w:r>
        <w:t>se.</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He shall, at the time of sale or transfer of any arms or ammunition to a person holding a </w:t>
      </w:r>
      <w:proofErr w:type="spellStart"/>
      <w:r>
        <w:t>licence</w:t>
      </w:r>
      <w:proofErr w:type="spellEnd"/>
      <w:r>
        <w:t xml:space="preserve"> in Form III, Form IV, Form V, Form VII or Form VIII endorse on the </w:t>
      </w:r>
      <w:proofErr w:type="spellStart"/>
      <w:r>
        <w:t>licence</w:t>
      </w:r>
      <w:proofErr w:type="spellEnd"/>
      <w:r>
        <w: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The name, description and residence of the person who takes delivery of</w:t>
      </w:r>
      <w:r>
        <w:t xml:space="preserve"> the articles sold or transferred.</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The nature and quantity of the articles sold or transferred, and</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The date of sale or transfer;</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proofErr w:type="gramStart"/>
      <w:r>
        <w:t>and</w:t>
      </w:r>
      <w:proofErr w:type="gramEnd"/>
      <w:r>
        <w:t xml:space="preserve"> shall sign the endorsement (and affix his seal).</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He shall at the time of sale or transfer of a weapon enter in</w:t>
      </w:r>
      <w:r>
        <w:t xml:space="preserve"> his register the number and other identification marks, if any, stamped on the weapon at the time of manufacture or otherwise.</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He shall give information of all sales or transfers of arms and ammunition, to such persons and in such manner as the Centra</w:t>
      </w:r>
      <w:r>
        <w:t>l Government may direct.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He shall not sell or transfer any quantity of ammunition to any person licensed to possess or carry arms or ammunition without his first obtaining a written certificate from such person to the </w:t>
      </w:r>
      <w:r>
        <w:lastRenderedPageBreak/>
        <w:t xml:space="preserve">effect that, with the quantity of </w:t>
      </w:r>
      <w:r>
        <w:t>ammunition in his possession will not exceed the maximum quantity which he is entitled to possess at any one time or his total allowance for the year:</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Provided that he shall not, in any case, sell or transfer to, any person any quantity of ammunition in ex</w:t>
      </w:r>
      <w:r>
        <w:t xml:space="preserve">cess of the maximum which may be fixed by the Central Government for such person or which is endorsed on such person’s </w:t>
      </w:r>
      <w:proofErr w:type="spellStart"/>
      <w:r>
        <w:t>licence</w:t>
      </w:r>
      <w:proofErr w:type="spellEnd"/>
      <w:r>
        <w: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He shall not sell arms and ammunition to an officer, non-commissioned officer or soldier of the armed forces of the Union, u</w:t>
      </w:r>
      <w:r>
        <w:t>nless such person produces a written pass or permit signed by his Commanding Officer, and then only to the extend and on the conditions specified in such pass or permit.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14. Where the </w:t>
      </w:r>
      <w:proofErr w:type="spellStart"/>
      <w:r>
        <w:t>licence</w:t>
      </w:r>
      <w:proofErr w:type="spellEnd"/>
      <w:r>
        <w:t xml:space="preserve"> is granted in and for any local area in West Bengal or Assam, th</w:t>
      </w:r>
      <w:r>
        <w:t>e licensee shall not sell arms or ammunition without a special permit from a Magistrate, to any member of a hill-tribe to which the Central Government may, from time to time, by notification, apply this condition.</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position w:val="6"/>
        </w:rPr>
        <w:t>1</w:t>
      </w:r>
      <w:r>
        <w:t>[14-A.</w:t>
      </w:r>
      <w:proofErr w:type="gramEnd"/>
      <w:r>
        <w:t xml:space="preserve"> Where a </w:t>
      </w:r>
      <w:proofErr w:type="spellStart"/>
      <w:r>
        <w:t>licence</w:t>
      </w:r>
      <w:proofErr w:type="spellEnd"/>
      <w:r>
        <w:t xml:space="preserve"> is granted for con</w:t>
      </w:r>
      <w:r>
        <w:t>version of ammunition, it shall not entitle the licensee to convert blank cartridge or any ammunition having not projectile into single/multiple projectile ammunition or to load or re-load any ammunition.]</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The licensee shall not sell or transfer any ar</w:t>
      </w:r>
      <w:r>
        <w:t xml:space="preserve">ms of category V to a person residing in an area to which Section 4 applies, unless </w:t>
      </w:r>
      <w:proofErr w:type="spellStart"/>
      <w:r>
        <w:t>the</w:t>
      </w:r>
      <w:proofErr w:type="spellEnd"/>
      <w:r>
        <w:t xml:space="preserve"> said person produces a </w:t>
      </w:r>
      <w:proofErr w:type="spellStart"/>
      <w:r>
        <w:t>licence</w:t>
      </w:r>
      <w:proofErr w:type="spellEnd"/>
      <w:r>
        <w:t xml:space="preserve">, or is exempted from the obligation to take out a </w:t>
      </w:r>
      <w:proofErr w:type="spellStart"/>
      <w:r>
        <w:t>licence</w:t>
      </w:r>
      <w:proofErr w:type="spellEnd"/>
      <w:r>
        <w:t>, to acquire, possess or carry such in that area.</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The licensee shall forthwi</w:t>
      </w:r>
      <w:r>
        <w:t xml:space="preserve">th give information at the nearest police station of the loss or theft of any arms or ammunition covered by the </w:t>
      </w:r>
      <w:proofErr w:type="spellStart"/>
      <w:r>
        <w:t>licence</w:t>
      </w:r>
      <w:proofErr w:type="spellEnd"/>
      <w:r>
        <w: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17. Chlorates shall be kept in a building constructed of uninflammable materials only and separated from any dwelling house, other buil</w:t>
      </w:r>
      <w:r>
        <w:t>ding, highway, street, public thoroughfare or public place by a distance of not less than 10 feet:</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Provided that, where the total quantity stored does not exceed 100 </w:t>
      </w:r>
      <w:proofErr w:type="spellStart"/>
      <w:r>
        <w:t>kgs</w:t>
      </w:r>
      <w:proofErr w:type="spellEnd"/>
      <w:r>
        <w:t>., chlorates may be kept exclusively in a closed and secured receptacle place in a buil</w:t>
      </w:r>
      <w:r>
        <w:t>ding used for the keeping of other articles not being of an explosive or highly inflammable nature.</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18. </w:t>
      </w:r>
      <w:proofErr w:type="spellStart"/>
      <w:r>
        <w:t>Sulphur</w:t>
      </w:r>
      <w:proofErr w:type="spellEnd"/>
      <w:r>
        <w:t xml:space="preserve"> shall not be kept in the same room with </w:t>
      </w:r>
      <w:proofErr w:type="spellStart"/>
      <w:r>
        <w:t>saltpetre</w:t>
      </w:r>
      <w:proofErr w:type="spellEnd"/>
      <w:r>
        <w:t xml:space="preserve"> in the premises specified in column 3:</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Provided that when the quantity of each does not exceed</w:t>
      </w:r>
      <w:r>
        <w:t xml:space="preserve"> 100 </w:t>
      </w:r>
      <w:proofErr w:type="spellStart"/>
      <w:r>
        <w:t>kgs</w:t>
      </w:r>
      <w:proofErr w:type="spellEnd"/>
      <w:r>
        <w:t xml:space="preserve">., </w:t>
      </w:r>
      <w:proofErr w:type="spellStart"/>
      <w:r>
        <w:t>sulphur</w:t>
      </w:r>
      <w:proofErr w:type="spellEnd"/>
      <w:r>
        <w:t xml:space="preserve"> and </w:t>
      </w:r>
      <w:proofErr w:type="spellStart"/>
      <w:r>
        <w:t>saltpetre</w:t>
      </w:r>
      <w:proofErr w:type="spellEnd"/>
      <w:r>
        <w:t xml:space="preserve"> may be kept in separate closed receptacles in the same room.</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19. No person shall smoke and no open fires shall be allowed at any time in the premises specified in column 3, or in the vicinity of the receptacles mentioned in</w:t>
      </w:r>
      <w:r>
        <w:t xml:space="preserve"> provisos to conditions 17 and 18.</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20. Where any building used for storage of such materials is fitted with electric lighting or power, the licensee shall get these installations tested at least once a year or once during the currency of the </w:t>
      </w:r>
      <w:proofErr w:type="spellStart"/>
      <w:r>
        <w:t>licence</w:t>
      </w:r>
      <w:proofErr w:type="spellEnd"/>
      <w:r>
        <w:t>, by an</w:t>
      </w:r>
      <w:r>
        <w:t xml:space="preserve"> Electrical Inspector appointed under the Indian Electricity Act, 1910, or if those installations are in Sikkim by an authority notified in this behalf by the State Government of Sikkim to ensure that there is no danger of fire or sparking.</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21. Any acciden</w:t>
      </w:r>
      <w:r>
        <w:t xml:space="preserve">t fire or explosion occurring within the premises specified in column 3 which is attended with loss of human life or serious injury to persons or property shall be reporter at once by the licensee to the officer-in-charge of the nearest police station </w:t>
      </w:r>
      <w:r>
        <w:rPr>
          <w:i/>
        </w:rPr>
        <w:t>havi</w:t>
      </w:r>
      <w:r>
        <w:rPr>
          <w:i/>
        </w:rPr>
        <w:t>ng jurisdiction</w:t>
      </w:r>
      <w:r>
        <w:t xml:space="preserve"> </w:t>
      </w:r>
      <w:r>
        <w:rPr>
          <w:i/>
        </w:rPr>
        <w:t xml:space="preserve">over the place of his business, </w:t>
      </w:r>
      <w:r>
        <w:t>factory or shop as well as to the Inspector of Explosives of the circle concerned.</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22. Subject to the other conditions contained herein, no licensee shall without reasonable cause, refuse to sell arms or ammu</w:t>
      </w:r>
      <w:r>
        <w:t>nition to any person who is entitled to purchase or acquire such arms or ammunition under the provisions of the Arms Act, 1959 or the Arms Rules, 1962.</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rPr>
          <w:b/>
          <w:i/>
        </w:rPr>
        <w:t>Explanation.</w:t>
      </w:r>
      <w:proofErr w:type="gramEnd"/>
      <w:r>
        <w:rPr>
          <w:b/>
          <w:i/>
        </w:rPr>
        <w:t xml:space="preserve"> -</w:t>
      </w:r>
      <w:r>
        <w:t>The</w:t>
      </w:r>
      <w:r>
        <w:rPr>
          <w:i/>
        </w:rPr>
        <w:t xml:space="preserve"> </w:t>
      </w:r>
      <w:r>
        <w:t>possibility or expectation of the seller obtaining a higher price at a later date or t</w:t>
      </w:r>
      <w:r>
        <w:t>he refusal by a person to purchase or acquire arms or ammunition partly of a description demanded by him and partly of a different description suggested by the licensee, shall not be deemed to be a reasonable cause for the purpose of this condition.</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23. Th</w:t>
      </w:r>
      <w:r>
        <w:t xml:space="preserve">e conversion into explosives of </w:t>
      </w:r>
      <w:proofErr w:type="spellStart"/>
      <w:r>
        <w:t>sulphur</w:t>
      </w:r>
      <w:proofErr w:type="spellEnd"/>
      <w:r>
        <w:t xml:space="preserve"> in admixture with chlorates shall be permitted for the following purposes only (and for no other purposes):</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spellStart"/>
      <w:r>
        <w:t>i</w:t>
      </w:r>
      <w:proofErr w:type="spellEnd"/>
      <w:r>
        <w:t xml:space="preserve">) </w:t>
      </w:r>
      <w:proofErr w:type="gramStart"/>
      <w:r>
        <w:t>in</w:t>
      </w:r>
      <w:proofErr w:type="gramEnd"/>
      <w:r>
        <w:t xml:space="preserve"> small quantities for scientific purposes; or</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 </w:t>
      </w:r>
      <w:proofErr w:type="gramStart"/>
      <w:r>
        <w:t>for</w:t>
      </w:r>
      <w:proofErr w:type="gramEnd"/>
      <w:r>
        <w:t xml:space="preserve"> the purposes of manufacturing heads of matches;</w:t>
      </w:r>
      <w:r>
        <w:t xml:space="preserve"> or</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(iii) </w:t>
      </w:r>
      <w:proofErr w:type="gramStart"/>
      <w:r>
        <w:t>for</w:t>
      </w:r>
      <w:proofErr w:type="gramEnd"/>
      <w:r>
        <w:t xml:space="preserve"> use in toy amerces (paper caps for toy pistols).</w:t>
      </w:r>
    </w:p>
    <w:p w:rsidR="00000000" w:rsidRDefault="000633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 xml:space="preserve">1. Ins. by G.S.R. No. 703. </w:t>
      </w:r>
      <w:proofErr w:type="gramStart"/>
      <w:r>
        <w:rPr>
          <w:i/>
        </w:rPr>
        <w:t>dated</w:t>
      </w:r>
      <w:proofErr w:type="gramEnd"/>
      <w:r>
        <w:rPr>
          <w:i/>
        </w:rPr>
        <w:t xml:space="preserve"> 15-7-1981.</w:t>
      </w:r>
    </w:p>
    <w:p w:rsidR="0006336A" w:rsidRDefault="0006336A">
      <w:pPr>
        <w:pStyle w:val="Normal0"/>
        <w:rPr>
          <w:rFonts w:ascii="Times New Roman" w:eastAsia="Times New Roman" w:hAnsi="Times New Roman"/>
          <w:i/>
        </w:rPr>
      </w:pPr>
    </w:p>
    <w:sectPr w:rsidR="0006336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6F094F"/>
    <w:rsid w:val="0006336A"/>
    <w:rsid w:val="006F0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3">
    <w:name w:val="Body Text 3"/>
    <w:basedOn w:val="Normal"/>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8151</Characters>
  <Application>Microsoft Office Word</Application>
  <DocSecurity>0</DocSecurity>
  <Lines>67</Lines>
  <Paragraphs>19</Paragraphs>
  <ScaleCrop>false</ScaleCrop>
  <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2017-01-09T04:48:00Z</dcterms:created>
  <dcterms:modified xsi:type="dcterms:W3CDTF">2017-01-09T04:48:00Z</dcterms:modified>
</cp:coreProperties>
</file>