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B48FF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>Form No. 6</w:t>
      </w:r>
    </w:p>
    <w:p w:rsidR="00000000" w:rsidRDefault="008B48FF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Expenditure-Tax</w:t>
      </w:r>
    </w:p>
    <w:p w:rsidR="00000000" w:rsidRDefault="008B48FF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[See Rule 8]</w:t>
      </w:r>
    </w:p>
    <w:p w:rsidR="00000000" w:rsidRDefault="008B48FF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 xml:space="preserve">Form </w:t>
      </w:r>
      <w:proofErr w:type="gramStart"/>
      <w:r>
        <w:rPr>
          <w:color w:val="auto"/>
          <w:sz w:val="24"/>
        </w:rPr>
        <w:t>Of</w:t>
      </w:r>
      <w:proofErr w:type="gramEnd"/>
      <w:r>
        <w:rPr>
          <w:color w:val="auto"/>
          <w:sz w:val="24"/>
        </w:rPr>
        <w:t xml:space="preserve"> Appeal To The Appellate Tribunal </w:t>
      </w:r>
    </w:p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Income-tax Appellate Tribunal </w:t>
      </w:r>
    </w:p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* </w:t>
      </w:r>
      <w:r>
        <w:rPr>
          <w:rFonts w:ascii="Times New Roman" w:eastAsia="Times New Roman" w:hAnsi="Times New Roman"/>
          <w:sz w:val="24"/>
        </w:rPr>
        <w:t xml:space="preserve">Appeal No.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2500"/>
        <w:gridCol w:w="2000"/>
        <w:gridCol w:w="3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6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Versus 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6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APPELLANT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RESPONDENT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The State in which the assessment was made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2.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Section under which th</w:t>
            </w:r>
            <w:r>
              <w:rPr>
                <w:rFonts w:ascii="Times New Roman" w:eastAsia="Times New Roman" w:hAnsi="Times New Roman"/>
                <w:sz w:val="24"/>
              </w:rPr>
              <w:t xml:space="preserve">e order appealed against was passed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3.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Assessment year in connection with which the appeal is preferred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4.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** The Assessing Officer passing the original order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5.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* </w:t>
            </w:r>
            <w:r>
              <w:rPr>
                <w:rFonts w:ascii="Times New Roman" w:eastAsia="Times New Roman" w:hAnsi="Times New Roman"/>
                <w:sz w:val="24"/>
              </w:rPr>
              <w:t>Section and sub-section of the Expenditure-tax Act, 1987, under which t</w:t>
            </w:r>
            <w:r>
              <w:rPr>
                <w:rFonts w:ascii="Times New Roman" w:eastAsia="Times New Roman" w:hAnsi="Times New Roman"/>
                <w:sz w:val="24"/>
              </w:rPr>
              <w:t xml:space="preserve">he Assessing Officer passed the order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6.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** The Commissioner (Appeals) passing the order under section 17/22 of the Act/section 131(2) of the Income-tax Act, 1961, as applied to expenditure-tax by section 24 of the Expenditure-tax Act, 1987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7.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** The Commissioner passing the order under section 21 of the Act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8.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Date of communication of the order appealed against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9.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Address to which notices may be sent to the appellant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10.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Address to which notices may be sent to the respond</w:t>
            </w:r>
            <w:r>
              <w:rPr>
                <w:rFonts w:ascii="Times New Roman" w:eastAsia="Times New Roman" w:hAnsi="Times New Roman"/>
                <w:sz w:val="24"/>
              </w:rPr>
              <w:t xml:space="preserve">ent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11.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Date on which the return of chargeable expenditure, if any, for the assessment year referred to in item 3 was filed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12.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Date on which the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assessee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was served with a notice, if any, calling upon him to file the return of chargeable exp</w:t>
            </w:r>
            <w:r>
              <w:rPr>
                <w:rFonts w:ascii="Times New Roman" w:eastAsia="Times New Roman" w:hAnsi="Times New Roman"/>
                <w:sz w:val="24"/>
              </w:rPr>
              <w:t xml:space="preserve">enditure for the assessment year referred to in item 3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590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13. 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† Relief claimed in appeal 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64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  <w:tcBorders>
              <w:top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600" w:type="dxa"/>
            <w:tcBorders>
              <w:top w:val="nil"/>
            </w:tcBorders>
          </w:tcPr>
          <w:p w:rsidR="00000000" w:rsidRDefault="00D2206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600" w:type="dxa"/>
          </w:tcPr>
          <w:p w:rsidR="00000000" w:rsidRDefault="00D2206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  <w:tcBorders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600" w:type="dxa"/>
            <w:tcBorders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(Appellant)</w:t>
            </w:r>
          </w:p>
        </w:tc>
      </w:tr>
    </w:tbl>
    <w:p w:rsidR="00000000" w:rsidRDefault="00D2206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54" w:type="dxa"/>
            <w:tcBorders>
              <w:top w:val="nil"/>
            </w:tcBorders>
          </w:tcPr>
          <w:p w:rsidR="00000000" w:rsidRDefault="00D2206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†GROUNDS OF APPEAL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54" w:type="dxa"/>
            <w:tcBorders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 </w:t>
            </w:r>
          </w:p>
        </w:tc>
      </w:tr>
    </w:tbl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64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  <w:tcBorders>
              <w:top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Signed</w:t>
            </w:r>
          </w:p>
        </w:tc>
        <w:tc>
          <w:tcPr>
            <w:tcW w:w="4600" w:type="dxa"/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  <w:tcBorders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Authorised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representative, if any)</w:t>
            </w:r>
          </w:p>
        </w:tc>
        <w:tc>
          <w:tcPr>
            <w:tcW w:w="4600" w:type="dxa"/>
            <w:tcBorders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(Appellant)</w:t>
            </w:r>
          </w:p>
        </w:tc>
      </w:tr>
    </w:tbl>
    <w:p w:rsidR="00000000" w:rsidRDefault="00D22060">
      <w:pPr>
        <w:pStyle w:val="PMSOCAPTION"/>
        <w:rPr>
          <w:sz w:val="24"/>
        </w:rPr>
      </w:pPr>
      <w:r>
        <w:rPr>
          <w:i w:val="0"/>
          <w:sz w:val="24"/>
        </w:rPr>
        <w:t> </w:t>
      </w:r>
    </w:p>
    <w:p w:rsidR="00000000" w:rsidRDefault="00D22060">
      <w:pPr>
        <w:pStyle w:val="PMSOCAPTION"/>
        <w:rPr>
          <w:b w:val="0"/>
          <w:i w:val="0"/>
          <w:sz w:val="24"/>
        </w:rPr>
      </w:pPr>
      <w:r>
        <w:rPr>
          <w:i w:val="0"/>
          <w:sz w:val="24"/>
        </w:rPr>
        <w:t>Verification</w:t>
      </w:r>
      <w:r>
        <w:rPr>
          <w:b w:val="0"/>
          <w:i w:val="0"/>
          <w:sz w:val="24"/>
        </w:rPr>
        <w:t> </w:t>
      </w:r>
    </w:p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  <w:u w:val="single"/>
        </w:rPr>
        <w:t xml:space="preserve">, </w:t>
      </w:r>
      <w:r>
        <w:rPr>
          <w:rFonts w:ascii="Times New Roman" w:eastAsia="Times New Roman" w:hAnsi="Times New Roman"/>
          <w:sz w:val="24"/>
        </w:rPr>
        <w:t>the appella</w:t>
      </w:r>
      <w:r>
        <w:rPr>
          <w:rFonts w:ascii="Times New Roman" w:eastAsia="Times New Roman" w:hAnsi="Times New Roman"/>
          <w:sz w:val="24"/>
        </w:rPr>
        <w:t>nt, do hereby declare that what is stated above is true to the best of my information and belief.</w:t>
      </w:r>
    </w:p>
    <w:p w:rsidR="00000000" w:rsidRDefault="00D2206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Verified today, the day of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64"/>
        <w:gridCol w:w="4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  <w:tcBorders>
              <w:top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Place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</w:p>
        </w:tc>
        <w:tc>
          <w:tcPr>
            <w:tcW w:w="4600" w:type="dxa"/>
            <w:tcBorders>
              <w:top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  <w:tcBorders>
              <w:bottom w:val="nil"/>
            </w:tcBorders>
          </w:tcPr>
          <w:p w:rsidR="00000000" w:rsidRDefault="00D2206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nil"/>
            </w:tcBorders>
          </w:tcPr>
          <w:p w:rsidR="00000000" w:rsidRDefault="00D22060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(Appellant)</w:t>
            </w:r>
          </w:p>
        </w:tc>
      </w:tr>
    </w:tbl>
    <w:p w:rsidR="00000000" w:rsidRDefault="00D2206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Notes: </w:t>
      </w:r>
    </w:p>
    <w:p w:rsidR="00000000" w:rsidRDefault="00D22060">
      <w:pPr>
        <w:pStyle w:val="BODY"/>
        <w:spacing w:before="76" w:after="153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The memorandum of appeal must be in triplicate and should be accompanied by two copi</w:t>
      </w:r>
      <w:r>
        <w:rPr>
          <w:rFonts w:ascii="Times New Roman" w:eastAsia="Times New Roman" w:hAnsi="Times New Roman"/>
          <w:sz w:val="24"/>
        </w:rPr>
        <w:t xml:space="preserve">es (at least one of which should be a certified copy) of the order appealed against and two copies of the relevant order of the Assessing Officer. </w:t>
      </w:r>
    </w:p>
    <w:p w:rsidR="00000000" w:rsidRDefault="00D22060">
      <w:pPr>
        <w:pStyle w:val="BODY"/>
        <w:spacing w:before="76" w:after="153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The memorandum of appeal in the case of an appeal by an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assessee</w:t>
      </w:r>
      <w:proofErr w:type="spellEnd"/>
      <w:r>
        <w:rPr>
          <w:rFonts w:ascii="Times New Roman" w:eastAsia="Times New Roman" w:hAnsi="Times New Roman"/>
          <w:sz w:val="24"/>
        </w:rPr>
        <w:t xml:space="preserve"> under section 23(1) of the Act must be a</w:t>
      </w:r>
      <w:r>
        <w:rPr>
          <w:rFonts w:ascii="Times New Roman" w:eastAsia="Times New Roman" w:hAnsi="Times New Roman"/>
          <w:sz w:val="24"/>
        </w:rPr>
        <w:t xml:space="preserve">ccompanied by a fee of Rs.1000. It is suggested that the fee should be credited in any branch of the State Bank of India or a branch of the Reserve Bank of India or a branch of the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authorised</w:t>
      </w:r>
      <w:proofErr w:type="spellEnd"/>
      <w:r>
        <w:rPr>
          <w:rFonts w:ascii="Times New Roman" w:eastAsia="Times New Roman" w:hAnsi="Times New Roman"/>
          <w:sz w:val="24"/>
        </w:rPr>
        <w:t xml:space="preserve"> bank after obtaining the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challan</w:t>
      </w:r>
      <w:proofErr w:type="spellEnd"/>
      <w:r>
        <w:rPr>
          <w:rFonts w:ascii="Times New Roman" w:eastAsia="Times New Roman" w:hAnsi="Times New Roman"/>
          <w:sz w:val="24"/>
        </w:rPr>
        <w:t xml:space="preserve"> from the Assessing Officer and </w:t>
      </w:r>
      <w:r>
        <w:rPr>
          <w:rFonts w:ascii="Times New Roman" w:eastAsia="Times New Roman" w:hAnsi="Times New Roman"/>
          <w:sz w:val="24"/>
        </w:rPr>
        <w:t xml:space="preserve">the triplicate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challan</w:t>
      </w:r>
      <w:proofErr w:type="spellEnd"/>
      <w:r>
        <w:rPr>
          <w:rFonts w:ascii="Times New Roman" w:eastAsia="Times New Roman" w:hAnsi="Times New Roman"/>
          <w:sz w:val="24"/>
        </w:rPr>
        <w:t xml:space="preserve"> sent to the Appellate Tribunal with the memorandum of appeal. The Appellate Tribunal will not accept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cheques</w:t>
      </w:r>
      <w:proofErr w:type="spellEnd"/>
      <w:r>
        <w:rPr>
          <w:rFonts w:ascii="Times New Roman" w:eastAsia="Times New Roman" w:hAnsi="Times New Roman"/>
          <w:sz w:val="24"/>
        </w:rPr>
        <w:t xml:space="preserve">, drafts,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hundies</w:t>
      </w:r>
      <w:proofErr w:type="spellEnd"/>
      <w:r>
        <w:rPr>
          <w:rFonts w:ascii="Times New Roman" w:eastAsia="Times New Roman" w:hAnsi="Times New Roman"/>
          <w:sz w:val="24"/>
        </w:rPr>
        <w:t xml:space="preserve"> or other negotiable instruments. </w:t>
      </w:r>
    </w:p>
    <w:p w:rsidR="00000000" w:rsidRDefault="00D22060">
      <w:pPr>
        <w:pStyle w:val="BODY"/>
        <w:spacing w:before="76" w:after="153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The memorandum of appeal should be written in English or, if the appea</w:t>
      </w:r>
      <w:r>
        <w:rPr>
          <w:rFonts w:ascii="Times New Roman" w:eastAsia="Times New Roman" w:hAnsi="Times New Roman"/>
          <w:sz w:val="24"/>
        </w:rPr>
        <w:t>l is filed in a Bench located in any such State as is for the time being notified by the President of the Appellate Tribunal for the purposes of rule 5A of the Income-tax (Appellate Tribunal) Rules, 1963, then, at the option of the appellant, in Hindi, and</w:t>
      </w:r>
      <w:r>
        <w:rPr>
          <w:rFonts w:ascii="Times New Roman" w:eastAsia="Times New Roman" w:hAnsi="Times New Roman"/>
          <w:sz w:val="24"/>
        </w:rPr>
        <w:t xml:space="preserve"> should set forth concisely and under distinct heads, the grounds of appeal without any argument or narrative and such grounds should be numbered consecutively. </w:t>
      </w:r>
    </w:p>
    <w:p w:rsidR="00000000" w:rsidRDefault="00D22060">
      <w:pPr>
        <w:pStyle w:val="BODY"/>
        <w:spacing w:before="76" w:after="153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*The number and year of appeal will be filled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in the</w:t>
      </w:r>
      <w:r>
        <w:rPr>
          <w:rFonts w:ascii="Times New Roman" w:eastAsia="Times New Roman" w:hAnsi="Times New Roman"/>
          <w:sz w:val="24"/>
        </w:rPr>
        <w:t xml:space="preserve"> office of the Appellate Tribunal. </w:t>
      </w:r>
    </w:p>
    <w:p w:rsidR="00000000" w:rsidRDefault="00D22060">
      <w:pPr>
        <w:pStyle w:val="BODY"/>
        <w:spacing w:before="76" w:after="153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>
        <w:rPr>
          <w:rFonts w:ascii="Times New Roman" w:eastAsia="Times New Roman" w:hAnsi="Times New Roman"/>
          <w:sz w:val="24"/>
        </w:rPr>
        <w:t xml:space="preserve">**Delete the inapplicable items. </w:t>
      </w:r>
    </w:p>
    <w:p w:rsidR="00000000" w:rsidRDefault="00D22060">
      <w:pPr>
        <w:pStyle w:val="BODY"/>
        <w:spacing w:before="76" w:after="153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†If the space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provided is</w:t>
      </w:r>
      <w:r>
        <w:rPr>
          <w:rFonts w:ascii="Times New Roman" w:eastAsia="Times New Roman" w:hAnsi="Times New Roman"/>
          <w:sz w:val="24"/>
        </w:rPr>
        <w:t xml:space="preserve"> found insufficient, separate enclosures may be used for the purpose. </w:t>
      </w:r>
    </w:p>
    <w:p w:rsidR="00D22060" w:rsidRDefault="00D22060">
      <w:pPr>
        <w:pStyle w:val="BODY"/>
        <w:spacing w:before="76" w:after="153"/>
        <w:ind w:left="540"/>
        <w:jc w:val="both"/>
        <w:rPr>
          <w:rFonts w:ascii="Times New Roman" w:eastAsia="Times New Roman" w:hAnsi="Times New Roman"/>
          <w:sz w:val="24"/>
        </w:rPr>
      </w:pPr>
    </w:p>
    <w:sectPr w:rsidR="00D2206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B48FF"/>
    <w:rsid w:val="008B48FF"/>
    <w:rsid w:val="00D2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paragraph" w:customStyle="1" w:styleId="PMSOCAPTION">
    <w:name w:val="P.MSOCAPTION"/>
    <w:basedOn w:val="P"/>
    <w:pPr>
      <w:spacing w:before="0" w:after="0"/>
      <w:jc w:val="center"/>
    </w:pPr>
    <w:rPr>
      <w:rFonts w:ascii="Times New Roman" w:eastAsia="Times New Roman" w:hAnsi="Times New Roman"/>
      <w:b/>
      <w:i/>
      <w:sz w:val="2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HEADER">
    <w:name w:val="P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HEADER">
    <w:name w:val="LI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HEADER">
    <w:name w:val="DIV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FOOTER">
    <w:name w:val="P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FOOTER">
    <w:name w:val="LI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FOOTER">
    <w:name w:val="DIV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CAPTION">
    <w:name w:val="LI.MSOCAPTION"/>
    <w:basedOn w:val="P"/>
    <w:pPr>
      <w:spacing w:before="0" w:after="0"/>
      <w:jc w:val="center"/>
    </w:pPr>
    <w:rPr>
      <w:rFonts w:ascii="Times New Roman" w:eastAsia="Times New Roman" w:hAnsi="Times New Roman"/>
      <w:b/>
      <w:i/>
      <w:sz w:val="20"/>
    </w:rPr>
  </w:style>
  <w:style w:type="paragraph" w:customStyle="1" w:styleId="DIVMSOCAPTION">
    <w:name w:val="DIV.MSOCAPTION"/>
    <w:basedOn w:val="P"/>
    <w:pPr>
      <w:spacing w:before="0" w:after="0"/>
      <w:jc w:val="center"/>
    </w:pPr>
    <w:rPr>
      <w:rFonts w:ascii="Times New Roman" w:eastAsia="Times New Roman" w:hAnsi="Times New Roman"/>
      <w:b/>
      <w:i/>
      <w:sz w:val="20"/>
    </w:rPr>
  </w:style>
  <w:style w:type="paragraph" w:customStyle="1" w:styleId="PMSOTITLE">
    <w:name w:val="P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LIMSOTITLE">
    <w:name w:val="LI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DIVMSOTITLE">
    <w:name w:val="DIV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">
    <w:name w:val="@PAGE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PAGESECTION1">
    <w:name w:val="@PAGESECTION1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jc w:val="center"/>
    </w:pPr>
    <w:rPr>
      <w:rFonts w:ascii="Times New Roman" w:eastAsia="Times New Roman" w:hAnsi="Times New Roman"/>
      <w:b/>
      <w:sz w:val="24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2017-01-17T05:39:00Z</dcterms:created>
  <dcterms:modified xsi:type="dcterms:W3CDTF">2017-01-17T05:39:00Z</dcterms:modified>
</cp:coreProperties>
</file>