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D4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rPr>
        <w:t>Before The Hon'ble Hp State Administrative Tribunal At Shimla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on behalf of the respondent No. _______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Submissions/Objections: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present OA is not maintainable at all. The applicant has not joined all the necessary and proper parties. Therefore, the OA is bad for non-joinder of necessary parties. The present OA is motivated, instigated, false, frivolous and vexatious.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 That the selection and appointment of the applicant has been done by duly constituted selection committee in accordance with the rules governing the matter. No malafide has been attributed to any of the member of the selection committee and as such there</w:t>
      </w:r>
      <w:r>
        <w:t xml:space="preserve"> is no other ground available to the applicant to challenge the selection of the replying respondent. The applicant has taken chance to appear before the selection committee and after failing to make it he cannot now approbate and reprobate.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w:t>
      </w:r>
      <w:r>
        <w:t>plicant has concealed the material fact that the replying respondent has already joined on _____ at GPS _____ as _____ after being appointed. _____It is also submitted that the applicant has voluntarily offered to work gratis free as Vidya Upasak in GPS __</w:t>
      </w:r>
      <w:r>
        <w:t xml:space="preserve">___ wef _-___ and this vests no legal or constitutional right in favour of the applicant to claim for his being appointed permanently. It is also pertinent to submit herewith that the applicant is a _____son of _____ and is possessing good landed property </w:t>
      </w:r>
      <w:r>
        <w:t>and other source of income. On the other hand the replying respondent is a ____destitute lady as her husband is_____ and she is getting no financial help from ______ and has no other source of income. The replying respondent has _____ children to take care</w:t>
      </w:r>
      <w:r>
        <w:t xml:space="preserve"> of. The appointment of the replying respondent is perfectly in consonance with the ______ Rules for appointment of the Vidya Upasak. The replying respondent also belongs to _____OBC.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principle of falsus uno falsus omnibus applies against the </w:t>
      </w:r>
      <w:r>
        <w:t>applicant.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applicant has got no indefeasible right in his favour.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That the applicant has no locus standi to file the present OA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OA is also bad for non-disclosure of better particulars. The particulars have been purposely co</w:t>
      </w:r>
      <w:r>
        <w:t>ncealed. The applicant has not come with clean hands and therefore, the principle of suppressio veri suggestio falsi applies against the applicant. The applicant has purposely made mis-representation of facts. 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applicant has not exhaust</w:t>
      </w:r>
      <w:r>
        <w:t xml:space="preserve">ed alternative remedies, which is mandatory requirement before coming before this Hon'ble Tribunal. The matter is not of urgent nature so as to approach this Hon'ble Tribunal without first exhausting the alternative remedies. No irrevocable or irreparable </w:t>
      </w:r>
      <w:r>
        <w:t xml:space="preserve">loss has been caused to the applicant neither any interim stay order was involved. Therefore, the OA is premature and deserves to be dismissed on this account alone.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OA is hit by gross delay and laches and is not maintainable. 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That </w:t>
      </w:r>
      <w:r>
        <w:t>the OA is also not maintainable as all the applicants have different causes of action. Therefore, OA is bad for mis-joinder of cause of actions. 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without prejudice to above, _______. As per the Yojna the replying respondent scores marks as un</w:t>
      </w:r>
      <w:r>
        <w:t>der viz-a-viz the 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color w:val="FF0000"/>
        </w:rPr>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S.No. Qualification Applicant Respondent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Plus Two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xml:space="preserve"> (for __% marks) (For __% marks)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BA &amp; above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xml:space="preserve"> (One Year Teaching Course)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SC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xml:space="preserve">- Panchayat Resident 10 10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Handicap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xml:space="preserve">- IRDP __ __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 Marks in Viva 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bCs/>
          <w:color w:val="FF0000"/>
        </w:rPr>
        <w:t>Total Marks __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From foregoings, it is amply evident that the replying respondent has scored more marks than the applicant and has thus correctly been selected. 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contents of this para of OA calls</w:t>
      </w:r>
      <w:r>
        <w:t xml:space="preserve"> for no reply.</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this para of OA calls for no reply.</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OA are wrong and denied.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this 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contents of this para of OA are wrong and </w:t>
      </w:r>
      <w:r>
        <w:t>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contents of this sub-para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contents of this sub-para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contents of this sub-para of OA are wro</w:t>
      </w:r>
      <w:r>
        <w:t>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contents of this sub-para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this para of OA are wrong and denied. 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this para of OA are wrong and denied. It is respectfully submitted that the applicant has obtained ex-parte interim orders by suppression of material facts and as such the interim orders passed by this Hon'ble Tribunal deserves to b</w:t>
      </w:r>
      <w:r>
        <w:t>e vacated and may kindly be vacated in the interest of justice with costs on the applicant. 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this 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contents of this 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That the contents of this </w:t>
      </w:r>
      <w:r>
        <w:t>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contents of this para of OA are wrong and denied.</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rPr>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rPr>
        <w:t>BEFORE THE HON'BLE HP ADMINISTRATIVE TRIBUNAL AT SHIMLA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reply filed by the replying respondent No. 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w:t>
      </w:r>
      <w:r>
        <w:t>s under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reply has been prepared under my instructions.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______ of the Preliminary submission and paras 1 to 12 of the reply on merits are correct and true to the best of my knowledge.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true, no part of it is false and nothing material has been concealed therein.</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rPr>
        <w:t xml:space="preserve">BEFORE THE HON'BLE STATE ADMINISTRATIVE TRIBUNAL HP AT </w:t>
      </w:r>
      <w:r>
        <w:rPr>
          <w:b/>
          <w:bCs/>
        </w:rPr>
        <w:t>SHIMLA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 _________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Rule 8 (3) of HP Administrative Tribunal Rules for condonation of delay in filing of reply on behalf of the Replying Respondent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w:t>
      </w:r>
      <w:r>
        <w:t>ectfully Sheweth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this Hon'ble Tribunal was pleased to grant time to file the reply to the above OA. The replying respondent/applicant could not file the </w:t>
      </w:r>
      <w:r>
        <w:t>reply within the stipulated period as the replying respondent had to collect certain records. The delay in filing of the reply is neither intentional nor willful.</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filing of reply is essential for adjudication of the matter in interest of justice. T</w:t>
      </w:r>
      <w:r>
        <w:t>he replying respondent could not file the reply within the stipulated time.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delay in filing of the reply may kindly be condoned and the reply may kindly be taken on record in the interest of justice. Such ot</w:t>
      </w:r>
      <w:r>
        <w:t>her order may also be passed as deemed fit and proper in the facts and circumstances of the case.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______/Applicant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rPr>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rPr>
        <w:lastRenderedPageBreak/>
        <w:t>BEFORE THE HON'BLE STATE ADMINISTRATIVE TRIBUNAL HP AT SHIMLA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 _______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w:t>
      </w:r>
      <w:r>
        <w:t>er Rule 8 (3) of HP Administrative Tribunal Rules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w:t>
      </w:r>
      <w:r>
        <w:t xml:space="preserve"> are correct and true to the best of my knowledge.</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therein.</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bCs/>
        </w:rPr>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rPr>
        <w:t>BEFORE THE HON'BLE STATE ADMINISTRATIVE TRIBUNAL AT SHIMLA</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OA No.: _________ </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bCs/>
          <w:u w:val="single"/>
        </w:rPr>
        <w:t>Index</w:t>
      </w:r>
    </w:p>
    <w:tbl>
      <w:tblPr>
        <w:tblW w:w="0" w:type="auto"/>
        <w:tblInd w:w="108" w:type="dxa"/>
        <w:tblLayout w:type="fixed"/>
        <w:tblCellMar>
          <w:right w:w="98" w:type="dxa"/>
        </w:tblCellMar>
        <w:tblLook w:val="0000"/>
      </w:tblPr>
      <w:tblGrid>
        <w:gridCol w:w="1008"/>
        <w:gridCol w:w="1260"/>
        <w:gridCol w:w="3060"/>
        <w:gridCol w:w="1260"/>
      </w:tblGrid>
      <w:tr w:rsidR="00000000">
        <w:trPr>
          <w:trHeight w:val="215"/>
        </w:trPr>
        <w:tc>
          <w:tcPr>
            <w:tcW w:w="1008" w:type="dxa"/>
            <w:tcBorders>
              <w:top w:val="single" w:sz="8"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260" w:type="dxa"/>
            <w:tcBorders>
              <w:top w:val="single" w:sz="8"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R-1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R-2</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R-3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R-4</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for Condonation</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4"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w:t>
            </w:r>
          </w:p>
        </w:tc>
        <w:tc>
          <w:tcPr>
            <w:tcW w:w="12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4"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single" w:sz="4" w:space="0" w:color="auto"/>
              <w:left w:val="single" w:sz="4" w:space="0" w:color="auto"/>
              <w:bottom w:val="single" w:sz="4"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1008" w:type="dxa"/>
            <w:tcBorders>
              <w:top w:val="single" w:sz="4" w:space="0" w:color="auto"/>
              <w:left w:val="single" w:sz="8" w:space="0" w:color="auto"/>
              <w:bottom w:val="single" w:sz="8" w:space="0" w:color="auto"/>
              <w:right w:val="single" w:sz="4" w:space="0" w:color="auto"/>
            </w:tcBorders>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Borders>
              <w:top w:val="single" w:sz="4" w:space="0" w:color="auto"/>
              <w:left w:val="single" w:sz="4" w:space="0" w:color="auto"/>
              <w:bottom w:val="single" w:sz="8"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1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single" w:sz="4" w:space="0" w:color="auto"/>
              <w:left w:val="single" w:sz="4" w:space="0" w:color="auto"/>
              <w:bottom w:val="single" w:sz="8" w:space="0" w:color="auto"/>
              <w:right w:val="single" w:sz="8" w:space="0" w:color="auto"/>
            </w:tcBorders>
            <w:tcMar>
              <w:left w:w="118" w:type="dxa"/>
              <w:right w:w="108" w:type="dxa"/>
            </w:tcMar>
          </w:tcPr>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_____</w:t>
      </w:r>
    </w:p>
    <w:p w:rsidR="00000000" w:rsidRDefault="00DE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DE6EE4" w:rsidRDefault="00DE6EE4">
      <w:pPr>
        <w:pStyle w:val="Normal0"/>
        <w:rPr>
          <w:rFonts w:ascii="Times New Roman" w:hAnsi="Times New Roman" w:cs="Times New Roman"/>
        </w:rPr>
      </w:pPr>
    </w:p>
    <w:sectPr w:rsidR="00DE6EE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49D1"/>
    <w:rsid w:val="008D49D1"/>
    <w:rsid w:val="00DE6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2017-01-05T04:08:00Z</dcterms:created>
  <dcterms:modified xsi:type="dcterms:W3CDTF">2017-01-05T04:08:00Z</dcterms:modified>
</cp:coreProperties>
</file>