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MAINTENANCE OF CHILDREN BY PARENTS</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provisions regarding Procedure for Maintenance are mentioned under section 126 of the Code of Criminal Procedure, 1973. The proceedings under Section 125 are in the nature of civil proceedings, the remedy is a summarily one and the person seeking the remedy is ordinarily a helpless person. So the words in Section 126(1) should be liberally construed.</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Application to Magistrate</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for maintenance under Section 125 of the Code may be filed in the court of first class Magistrate in any district</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Where the father is, or</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Where the father or his child resides, or</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Where the father last resided with his wife, or as the case may be, with the mother of the illegitimate child.</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period of limitation has been prescribed for filing an application for maintenance.</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Summons to the Respondent</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magistrate will then summon the person against whom the maintenance is claimed in order for the father to make appearance and contest the claim of maintenance.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Evidence and Trial</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evidence in such proceedings shall be taken in the presence of the father against whom an order for payment of maintenance is proposed to be made, or, when his personal attendance is dispensed with, in the presence of his pleader, and shall be recorded in the manner prescribed for summons-case. However, if the Magistrate is satisfied that the father against whom an order for payment of maintenance is proposed to be made is willfully avoiding service, or willfully neglecting to attend the Court, the Magistrate may proceed to hear and determine the case ex parte.</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Interim Maintenance</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pendency of the suit the magistrate may order for payment of monthly allowance to the child and also the expenses of the proceedings which the magistrate considers to be reasonable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Order of maintenance</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trial, the magistrate on perusing the evidence and witnesses may make an order for the father to make a monthly allowance for the maintenance of his child at such a monthly rate as the magistrate seems to be necessary.</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Modification of maintenance</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127 empowers the Magistrate to alter or modify the order of the maintenance on of (i) a change in the circumstances of the party receiving the maintenance, or (ii) any decision of competent civil court. The party entitled to alteration of the order, can always move to the Magistrate whenever there is a change of circumstances.</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Enforcement of maintenance</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an order of maintenance has been passed, the order will be provided to the child and this can be enforced by a magistrate in the place where the father against whom maintenance is claimed resides, failing which a warrant will be issued against him.</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Bakulabai v. Gangaram</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by the Supreme Court that a child born out of a void marriage between a woman and a man who already has a wife is to be treated as a legitimate child who is entitled to maintenance under Section 125 CrPC.</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Jasbir Kaur Sehgal v. District Judge, Dehradun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Supreme Court held that an  unmarried daughter unable to maintain herself is entitled to claim maintenance. The father is obliged to maintain her unmarried daughters even if they are living separately with their mother.</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Noor Saba Khatoon v. Mohd. Quasim</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court held that the benefit under Section 125 CrPC is available to all children irrespective of religion. Right under Muslim Women (Protection of Rights on Divorce) Act, 1986 is that of the mother to claim maintenance for children for two years from their date of birth and is distinct and independent of the right to maintenance under CrPC to minor children unable to maintain themselves.</w:t>
      </w:r>
    </w:p>
    <w:p w:rsidR="00000000" w:rsidDel="00000000" w:rsidP="00000000" w:rsidRDefault="00000000" w:rsidRPr="00000000" w14:paraId="00000023">
      <w:pPr>
        <w:spacing w:line="36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(1988) 1 SCC 537</w:t>
      </w:r>
      <w:r w:rsidDel="00000000" w:rsidR="00000000" w:rsidRPr="00000000">
        <w:rPr>
          <w:rtl w:val="0"/>
        </w:rPr>
      </w:r>
    </w:p>
  </w:footnote>
  <w:footnote w:id="1">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(1997) 7 SCC 7</w:t>
      </w:r>
      <w:r w:rsidDel="00000000" w:rsidR="00000000" w:rsidRPr="00000000">
        <w:rPr>
          <w:rtl w:val="0"/>
        </w:rPr>
      </w:r>
    </w:p>
  </w:footnote>
  <w:footnote w:id="2">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(1997) 6 SCC 233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